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B4" w:rsidRPr="00647185" w:rsidRDefault="000C6391" w:rsidP="000C6391">
      <w:pPr>
        <w:spacing w:line="276" w:lineRule="auto"/>
        <w:jc w:val="center"/>
        <w:rPr>
          <w:rFonts w:eastAsia="標楷體"/>
          <w:b/>
          <w:color w:val="000000" w:themeColor="text1"/>
          <w:sz w:val="34"/>
          <w:szCs w:val="34"/>
        </w:rPr>
      </w:pPr>
      <w:bookmarkStart w:id="0" w:name="_GoBack"/>
      <w:bookmarkEnd w:id="0"/>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日桃教體字第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647185">
        <w:rPr>
          <w:rFonts w:eastAsia="標楷體"/>
          <w:b/>
          <w:color w:val="000000" w:themeColor="text1"/>
          <w:sz w:val="26"/>
          <w:szCs w:val="26"/>
        </w:rPr>
        <w:t>10</w:t>
      </w:r>
      <w:r w:rsidR="001F24EA"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4</w:t>
      </w:r>
      <w:r w:rsidRPr="00647185">
        <w:rPr>
          <w:rFonts w:eastAsia="標楷體"/>
          <w:b/>
          <w:color w:val="000000" w:themeColor="text1"/>
          <w:sz w:val="26"/>
          <w:szCs w:val="26"/>
        </w:rPr>
        <w:t>月</w:t>
      </w:r>
      <w:r w:rsidR="001F24EA" w:rsidRPr="00647185">
        <w:rPr>
          <w:rFonts w:eastAsia="標楷體" w:hint="eastAsia"/>
          <w:b/>
          <w:color w:val="000000" w:themeColor="text1"/>
          <w:sz w:val="26"/>
          <w:szCs w:val="26"/>
        </w:rPr>
        <w:t>29</w:t>
      </w:r>
      <w:r w:rsidR="00080186" w:rsidRPr="00647185">
        <w:rPr>
          <w:rFonts w:eastAsia="標楷體"/>
          <w:b/>
          <w:color w:val="000000" w:themeColor="text1"/>
          <w:sz w:val="26"/>
          <w:szCs w:val="26"/>
        </w:rPr>
        <w:t>日（</w:t>
      </w:r>
      <w:r w:rsidR="001F24EA" w:rsidRPr="00647185">
        <w:rPr>
          <w:rFonts w:eastAsia="標楷體" w:hint="eastAsia"/>
          <w:b/>
          <w:color w:val="000000" w:themeColor="text1"/>
          <w:sz w:val="26"/>
          <w:szCs w:val="26"/>
        </w:rPr>
        <w:t>五</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郵戳為憑</w:t>
      </w:r>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投稿所需相關表件格式可逕至幸福國中網站</w:t>
      </w:r>
      <w:bookmarkStart w:id="1"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r w:rsidRPr="00647185">
        <w:rPr>
          <w:rFonts w:eastAsia="標楷體"/>
          <w:color w:val="000000" w:themeColor="text1"/>
          <w:sz w:val="26"/>
          <w:szCs w:val="26"/>
        </w:rPr>
        <w:t>http://www.hfjh.tyc.edu.tw/default.asp</w:t>
      </w:r>
      <w:r w:rsidRPr="00647185">
        <w:rPr>
          <w:rFonts w:eastAsia="標楷體"/>
          <w:color w:val="000000" w:themeColor="text1"/>
          <w:sz w:val="26"/>
          <w:szCs w:val="26"/>
        </w:rPr>
        <w:t>）</w:t>
      </w:r>
      <w:bookmarkEnd w:id="1"/>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(Exp:*.html,</w:t>
      </w:r>
      <w:r w:rsidR="00E4202E" w:rsidRPr="00647185">
        <w:rPr>
          <w:rFonts w:eastAsia="標楷體"/>
          <w:color w:val="000000" w:themeColor="text1"/>
          <w:sz w:val="26"/>
          <w:szCs w:val="26"/>
        </w:rPr>
        <w:t xml:space="preserve"> *.doc, *.ppt,*.avi…</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號字體、標點符號以全形字、行距採</w:t>
      </w:r>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各組得視件數或作品水準，由評審委員決議調整獲獎情形，如無優秀件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57F72" w:rsidRDefault="00D771B4" w:rsidP="00991808">
      <w:pPr>
        <w:pStyle w:val="ad"/>
        <w:numPr>
          <w:ilvl w:val="0"/>
          <w:numId w:val="4"/>
        </w:numPr>
        <w:spacing w:line="360" w:lineRule="auto"/>
        <w:ind w:leftChars="0" w:left="993" w:hanging="567"/>
        <w:jc w:val="both"/>
        <w:rPr>
          <w:rFonts w:eastAsia="標楷體"/>
          <w:b/>
          <w:color w:val="000000" w:themeColor="text1"/>
          <w:sz w:val="26"/>
          <w:szCs w:val="26"/>
        </w:rPr>
      </w:pPr>
      <w:r w:rsidRPr="00357F72">
        <w:rPr>
          <w:rFonts w:eastAsia="標楷體"/>
          <w:b/>
          <w:color w:val="000000" w:themeColor="text1"/>
          <w:sz w:val="26"/>
          <w:szCs w:val="26"/>
        </w:rPr>
        <w:t>頒獎典禮訂於</w:t>
      </w:r>
      <w:r w:rsidRPr="00357F72">
        <w:rPr>
          <w:rFonts w:eastAsia="標楷體"/>
          <w:b/>
          <w:color w:val="000000" w:themeColor="text1"/>
          <w:sz w:val="26"/>
          <w:szCs w:val="26"/>
        </w:rPr>
        <w:t>10</w:t>
      </w:r>
      <w:r w:rsidR="00CB77DF" w:rsidRPr="00357F72">
        <w:rPr>
          <w:rFonts w:eastAsia="標楷體" w:hint="eastAsia"/>
          <w:b/>
          <w:color w:val="000000" w:themeColor="text1"/>
          <w:sz w:val="26"/>
          <w:szCs w:val="26"/>
        </w:rPr>
        <w:t>5</w:t>
      </w:r>
      <w:r w:rsidRPr="00357F72">
        <w:rPr>
          <w:rFonts w:eastAsia="標楷體"/>
          <w:b/>
          <w:color w:val="000000" w:themeColor="text1"/>
          <w:sz w:val="26"/>
          <w:szCs w:val="26"/>
        </w:rPr>
        <w:t>年</w:t>
      </w:r>
      <w:r w:rsidRPr="00357F72">
        <w:rPr>
          <w:rFonts w:eastAsia="標楷體"/>
          <w:b/>
          <w:color w:val="000000" w:themeColor="text1"/>
          <w:sz w:val="26"/>
          <w:szCs w:val="26"/>
        </w:rPr>
        <w:t>5</w:t>
      </w:r>
      <w:r w:rsidRPr="00357F72">
        <w:rPr>
          <w:rFonts w:eastAsia="標楷體"/>
          <w:b/>
          <w:color w:val="000000" w:themeColor="text1"/>
          <w:sz w:val="26"/>
          <w:szCs w:val="26"/>
        </w:rPr>
        <w:t>月</w:t>
      </w:r>
      <w:r w:rsidR="00CB77DF" w:rsidRPr="00357F72">
        <w:rPr>
          <w:rFonts w:eastAsia="標楷體" w:hint="eastAsia"/>
          <w:b/>
          <w:color w:val="000000" w:themeColor="text1"/>
          <w:sz w:val="26"/>
          <w:szCs w:val="26"/>
        </w:rPr>
        <w:t>1</w:t>
      </w:r>
      <w:r w:rsidR="00526AAA" w:rsidRPr="00357F72">
        <w:rPr>
          <w:rFonts w:eastAsia="標楷體" w:hint="eastAsia"/>
          <w:b/>
          <w:color w:val="000000" w:themeColor="text1"/>
          <w:sz w:val="26"/>
          <w:szCs w:val="26"/>
        </w:rPr>
        <w:t>1</w:t>
      </w:r>
      <w:r w:rsidRPr="00357F72">
        <w:rPr>
          <w:rFonts w:eastAsia="標楷體"/>
          <w:b/>
          <w:color w:val="000000" w:themeColor="text1"/>
          <w:sz w:val="26"/>
          <w:szCs w:val="26"/>
        </w:rPr>
        <w:t>日</w:t>
      </w:r>
      <w:r w:rsidRPr="00357F72">
        <w:rPr>
          <w:rFonts w:eastAsia="標楷體"/>
          <w:b/>
          <w:color w:val="000000" w:themeColor="text1"/>
          <w:sz w:val="26"/>
          <w:szCs w:val="26"/>
        </w:rPr>
        <w:t>(</w:t>
      </w:r>
      <w:r w:rsidRPr="00357F72">
        <w:rPr>
          <w:rFonts w:eastAsia="標楷體"/>
          <w:b/>
          <w:color w:val="000000" w:themeColor="text1"/>
          <w:sz w:val="26"/>
          <w:szCs w:val="26"/>
        </w:rPr>
        <w:t>三</w:t>
      </w:r>
      <w:r w:rsidRPr="00357F72">
        <w:rPr>
          <w:rFonts w:eastAsia="標楷體"/>
          <w:b/>
          <w:color w:val="000000" w:themeColor="text1"/>
          <w:sz w:val="26"/>
          <w:szCs w:val="26"/>
        </w:rPr>
        <w:t>)</w:t>
      </w:r>
      <w:r w:rsidR="006123FA" w:rsidRPr="00357F72">
        <w:rPr>
          <w:rFonts w:eastAsia="標楷體" w:hint="eastAsia"/>
          <w:b/>
          <w:color w:val="000000" w:themeColor="text1"/>
          <w:sz w:val="26"/>
          <w:szCs w:val="26"/>
        </w:rPr>
        <w:t xml:space="preserve"> </w:t>
      </w:r>
      <w:r w:rsidR="007630A9" w:rsidRPr="00357F72">
        <w:rPr>
          <w:rFonts w:eastAsia="標楷體"/>
          <w:b/>
          <w:color w:val="000000" w:themeColor="text1"/>
          <w:sz w:val="26"/>
          <w:szCs w:val="26"/>
        </w:rPr>
        <w:t>全市</w:t>
      </w:r>
      <w:r w:rsidRPr="00357F72">
        <w:rPr>
          <w:rFonts w:eastAsia="標楷體"/>
          <w:b/>
          <w:color w:val="000000" w:themeColor="text1"/>
          <w:sz w:val="26"/>
          <w:szCs w:val="26"/>
        </w:rPr>
        <w:t>性教育種子教師知能研習活動中舉行，</w:t>
      </w:r>
      <w:r w:rsidR="005359B4" w:rsidRPr="00357F72">
        <w:rPr>
          <w:rFonts w:eastAsia="標楷體"/>
          <w:b/>
          <w:color w:val="000000" w:themeColor="text1"/>
          <w:sz w:val="26"/>
          <w:szCs w:val="26"/>
        </w:rPr>
        <w:t xml:space="preserve"> </w:t>
      </w:r>
      <w:r w:rsidR="005359B4" w:rsidRPr="00357F72">
        <w:rPr>
          <w:rFonts w:eastAsia="標楷體"/>
          <w:b/>
          <w:color w:val="000000" w:themeColor="text1"/>
          <w:sz w:val="26"/>
          <w:szCs w:val="26"/>
        </w:rPr>
        <w:t>得獎者請務必出席領獎</w:t>
      </w:r>
      <w:r w:rsidRPr="00357F72">
        <w:rPr>
          <w:rFonts w:eastAsia="標楷體"/>
          <w:b/>
          <w:color w:val="000000" w:themeColor="text1"/>
          <w:sz w:val="26"/>
          <w:szCs w:val="26"/>
        </w:rPr>
        <w:t>。</w:t>
      </w:r>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得獎名單於</w:t>
      </w:r>
      <w:r w:rsidRPr="00647185">
        <w:rPr>
          <w:rFonts w:eastAsia="標楷體"/>
          <w:b/>
          <w:color w:val="000000" w:themeColor="text1"/>
          <w:sz w:val="26"/>
          <w:szCs w:val="26"/>
        </w:rPr>
        <w:t>10</w:t>
      </w:r>
      <w:r w:rsidR="00CB77DF"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5</w:t>
      </w:r>
      <w:r w:rsidRPr="00647185">
        <w:rPr>
          <w:rFonts w:eastAsia="標楷體"/>
          <w:b/>
          <w:color w:val="000000" w:themeColor="text1"/>
          <w:sz w:val="26"/>
          <w:szCs w:val="26"/>
        </w:rPr>
        <w:t>月</w:t>
      </w:r>
      <w:r w:rsidR="00C66AED" w:rsidRPr="00647185">
        <w:rPr>
          <w:rFonts w:eastAsia="標楷體" w:hint="eastAsia"/>
          <w:b/>
          <w:color w:val="000000" w:themeColor="text1"/>
          <w:sz w:val="26"/>
          <w:szCs w:val="26"/>
        </w:rPr>
        <w:t>6</w:t>
      </w:r>
      <w:r w:rsidRPr="00647185">
        <w:rPr>
          <w:rFonts w:eastAsia="標楷體"/>
          <w:b/>
          <w:color w:val="000000" w:themeColor="text1"/>
          <w:sz w:val="26"/>
          <w:szCs w:val="26"/>
        </w:rPr>
        <w:t>日（</w:t>
      </w:r>
      <w:r w:rsidR="00C66AED" w:rsidRPr="00647185">
        <w:rPr>
          <w:rFonts w:eastAsia="標楷體" w:hint="eastAsia"/>
          <w:b/>
          <w:color w:val="000000" w:themeColor="text1"/>
          <w:sz w:val="26"/>
          <w:szCs w:val="26"/>
        </w:rPr>
        <w:t>五</w:t>
      </w:r>
      <w:r w:rsidRPr="00647185">
        <w:rPr>
          <w:rFonts w:eastAsia="標楷體"/>
          <w:b/>
          <w:color w:val="000000" w:themeColor="text1"/>
          <w:sz w:val="26"/>
          <w:szCs w:val="26"/>
        </w:rPr>
        <w:t>）</w:t>
      </w:r>
      <w:r w:rsidRPr="00647185">
        <w:rPr>
          <w:rFonts w:eastAsia="標楷體"/>
          <w:color w:val="000000" w:themeColor="text1"/>
          <w:sz w:val="26"/>
          <w:szCs w:val="26"/>
        </w:rPr>
        <w:t>公佈於幸福國中網站之「最新消息」（</w:t>
      </w:r>
      <w:r w:rsidRPr="00647185">
        <w:rPr>
          <w:rFonts w:eastAsia="標楷體"/>
          <w:color w:val="000000" w:themeColor="text1"/>
          <w:sz w:val="26"/>
          <w:szCs w:val="26"/>
        </w:rPr>
        <w:t>http://www.hfjh.tyc.edu.tw/default.asp</w:t>
      </w:r>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參賽作品及附件資料請以掛號方式郵寄，報名以郵戳日期為憑。郵寄過程、費用及寄件後確認事項由參賽者自行負擔與處理。參賽作品若因郵寄過程遭毀損，參賽者須自行負責。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含愛滋病防治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r w:rsidR="00150327" w:rsidRPr="00647185">
        <w:rPr>
          <w:rFonts w:eastAsia="標楷體"/>
          <w:color w:val="000000" w:themeColor="text1"/>
          <w:sz w:val="26"/>
          <w:szCs w:val="26"/>
        </w:rPr>
        <w:t>人，分</w:t>
      </w:r>
      <w:r w:rsidR="00F10CE0" w:rsidRPr="00647185">
        <w:rPr>
          <w:rFonts w:eastAsia="標楷體"/>
          <w:color w:val="000000" w:themeColor="text1"/>
          <w:sz w:val="26"/>
          <w:szCs w:val="26"/>
        </w:rPr>
        <w:t>「高中職組」、</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hint="eastAsia"/>
          <w:color w:val="000000" w:themeColor="text1"/>
          <w:sz w:val="26"/>
          <w:szCs w:val="26"/>
        </w:rPr>
        <w:t>一</w:t>
      </w:r>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採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字級，單行間距，新細明體，標點符號採全形字。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等普遍格式為宜。勿使用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*.dll</w:t>
      </w:r>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r w:rsidR="009D3EA6" w:rsidRPr="00647185">
              <w:rPr>
                <w:rFonts w:eastAsia="標楷體"/>
                <w:color w:val="000000" w:themeColor="text1"/>
                <w:sz w:val="28"/>
                <w:szCs w:val="28"/>
              </w:rPr>
              <w:t xml:space="preserve">高中職組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一、該項教材、教學方案予以重製、公開發表或發行，應著明教材、教學方案為本人著作之旨。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二、於著作權宣導之範圍內（非營利之目的），將前項教案設計於以編輯或重製後，不限時間、地點、次數公開播送或教育推廣之用。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授權人一簽名：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點完整呈現，本格式僅供參考，參加者可依需求做調整；亦可逕至幸福國中網站（</w:t>
      </w:r>
      <w:r w:rsidRPr="00647185">
        <w:rPr>
          <w:rFonts w:eastAsia="標楷體"/>
          <w:color w:val="000000" w:themeColor="text1"/>
          <w:sz w:val="26"/>
          <w:szCs w:val="26"/>
        </w:rPr>
        <w:t>http://www.hfjh.tyc.edu.tw/default.asp</w:t>
      </w:r>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（二）國中小健體領域（高中職健康與護理）分段能力指標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（一）單元一</w:t>
      </w:r>
    </w:p>
    <w:p w:rsidR="00D771B4" w:rsidRPr="00647185" w:rsidRDefault="00647185"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5680" behindDoc="0" locked="0" layoutInCell="1" allowOverlap="1" wp14:anchorId="7729155E" wp14:editId="7E25ACDB">
                <wp:simplePos x="0" y="0"/>
                <wp:positionH relativeFrom="column">
                  <wp:posOffset>1113155</wp:posOffset>
                </wp:positionH>
                <wp:positionV relativeFrom="paragraph">
                  <wp:posOffset>213360</wp:posOffset>
                </wp:positionV>
                <wp:extent cx="342900" cy="45720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9155E" id="_x0000_t202" coordsize="21600,21600" o:spt="202" path="m,l,21600r21600,l21600,xe">
                <v:stroke joinstyle="miter"/>
                <v:path gradientshapeok="t" o:connecttype="rect"/>
              </v:shapetype>
              <v:shape id="Text Box 221" o:spid="_x0000_s1026" type="#_x0000_t202" style="position:absolute;left:0;text-align:left;margin-left:87.65pt;margin-top:16.8pt;width:2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6704" behindDoc="0" locked="0" layoutInCell="1" allowOverlap="1" wp14:anchorId="06655B8D" wp14:editId="7975EBCA">
                      <wp:simplePos x="0" y="0"/>
                      <wp:positionH relativeFrom="column">
                        <wp:posOffset>242570</wp:posOffset>
                      </wp:positionH>
                      <wp:positionV relativeFrom="paragraph">
                        <wp:posOffset>203835</wp:posOffset>
                      </wp:positionV>
                      <wp:extent cx="342900" cy="457200"/>
                      <wp:effectExtent l="0" t="0" r="0" b="0"/>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5B8D" id="Text Box 222" o:spid="_x0000_s1027" type="#_x0000_t202" style="position:absolute;margin-left:19.1pt;margin-top:16.0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MGjpZ6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活動三</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3BE38DBC" wp14:editId="23C1279C">
                      <wp:simplePos x="0" y="0"/>
                      <wp:positionH relativeFrom="column">
                        <wp:posOffset>223520</wp:posOffset>
                      </wp:positionH>
                      <wp:positionV relativeFrom="paragraph">
                        <wp:posOffset>195580</wp:posOffset>
                      </wp:positionV>
                      <wp:extent cx="342900" cy="45720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8DBC" id="Text Box 223" o:spid="_x0000_s1028" type="#_x0000_t202" style="position:absolute;margin-left:17.6pt;margin-top:15.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2kYHRL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p>
    <w:sectPr w:rsidR="00285FAF" w:rsidRPr="00647185" w:rsidSect="004C3A2F">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E4" w:rsidRDefault="003E18E4">
      <w:r>
        <w:separator/>
      </w:r>
    </w:p>
  </w:endnote>
  <w:endnote w:type="continuationSeparator" w:id="0">
    <w:p w:rsidR="003E18E4" w:rsidRDefault="003E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00BF" w:rsidRDefault="002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64CD">
      <w:rPr>
        <w:rStyle w:val="a7"/>
        <w:noProof/>
      </w:rPr>
      <w:t>1</w:t>
    </w:r>
    <w:r>
      <w:rPr>
        <w:rStyle w:val="a7"/>
      </w:rPr>
      <w:fldChar w:fldCharType="end"/>
    </w:r>
  </w:p>
  <w:p w:rsidR="002200BF" w:rsidRDefault="002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E4" w:rsidRDefault="003E18E4">
      <w:r>
        <w:separator/>
      </w:r>
    </w:p>
  </w:footnote>
  <w:footnote w:type="continuationSeparator" w:id="0">
    <w:p w:rsidR="003E18E4" w:rsidRDefault="003E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6274"/>
    <w:rsid w:val="00310C0D"/>
    <w:rsid w:val="00313C01"/>
    <w:rsid w:val="00313F88"/>
    <w:rsid w:val="003143B4"/>
    <w:rsid w:val="003152D0"/>
    <w:rsid w:val="003164CD"/>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8E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E662E"/>
    <w:rsid w:val="00AE6A89"/>
    <w:rsid w:val="00AF068D"/>
    <w:rsid w:val="00AF3727"/>
    <w:rsid w:val="00AF37AE"/>
    <w:rsid w:val="00AF3B62"/>
    <w:rsid w:val="00AF6120"/>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1B440580-E2AF-4F31-89B0-A9FC622C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1574E-FD0B-495C-AB98-3D8567B4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4121</Characters>
  <Application>Microsoft Office Word</Application>
  <DocSecurity>0</DocSecurity>
  <Lines>34</Lines>
  <Paragraphs>9</Paragraphs>
  <ScaleCrop>false</ScaleCrop>
  <Company>no</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2016-02-26T02:24:00Z</cp:lastPrinted>
  <dcterms:created xsi:type="dcterms:W3CDTF">2016-03-24T07:10:00Z</dcterms:created>
  <dcterms:modified xsi:type="dcterms:W3CDTF">2016-03-24T07:10:00Z</dcterms:modified>
</cp:coreProperties>
</file>