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CB0CF9" w:rsidRPr="00894008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衛生福利部國民健康署</w:t>
      </w:r>
    </w:p>
    <w:p w:rsidR="00974CA9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財團法人國家衛生研究院</w:t>
      </w:r>
    </w:p>
    <w:p w:rsidR="00CB0CF9" w:rsidRPr="00894008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協辦單位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：</w:t>
      </w:r>
      <w:r w:rsidRP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高雄市立小港醫院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E85A99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120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39770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8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39770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週四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E42276" w:rsidRDefault="00CB0CF9" w:rsidP="00E251F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E251F8" w:rsidRP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高雄市立小港醫院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大講堂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高雄市小港區山明里山明路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482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號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243"/>
        <w:gridCol w:w="3968"/>
      </w:tblGrid>
      <w:tr w:rsidR="0081192A" w:rsidRPr="0081192A" w:rsidTr="00330522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B4" w:rsidRPr="007F67B4" w:rsidRDefault="007F67B4" w:rsidP="007F67B4">
            <w:pPr>
              <w:pStyle w:val="TableParagraph"/>
              <w:jc w:val="center"/>
              <w:rPr>
                <w:rFonts w:eastAsia="標楷體"/>
              </w:rPr>
            </w:pPr>
            <w:r w:rsidRPr="007F67B4">
              <w:rPr>
                <w:rFonts w:eastAsia="標楷體"/>
              </w:rPr>
              <w:t>中國醫藥大學職業安全與衛生學系</w:t>
            </w:r>
            <w:r w:rsidRPr="007F67B4">
              <w:rPr>
                <w:rFonts w:eastAsia="標楷體" w:hint="eastAsia"/>
              </w:rPr>
              <w:t xml:space="preserve"> </w:t>
            </w:r>
          </w:p>
          <w:p w:rsidR="0081192A" w:rsidRPr="0081192A" w:rsidRDefault="007F67B4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 w:rsidR="00FD7D63"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 w:rsidR="00FD7D63"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2" w:rsidRDefault="00330522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義守大學</w:t>
            </w:r>
            <w:r w:rsidRPr="00330522">
              <w:rPr>
                <w:rFonts w:eastAsia="標楷體"/>
              </w:rPr>
              <w:t>醫學影像暨放射科學系</w:t>
            </w:r>
          </w:p>
          <w:p w:rsidR="00330522" w:rsidRPr="0081192A" w:rsidRDefault="00330522" w:rsidP="00330522">
            <w:pPr>
              <w:pStyle w:val="TableParagraph"/>
              <w:jc w:val="center"/>
              <w:rPr>
                <w:rFonts w:eastAsia="標楷體"/>
              </w:rPr>
            </w:pPr>
            <w:r w:rsidRPr="00330522">
              <w:rPr>
                <w:rFonts w:eastAsia="標楷體" w:hint="eastAsia"/>
              </w:rPr>
              <w:t>黃詠暉副教授</w:t>
            </w:r>
          </w:p>
        </w:tc>
      </w:tr>
    </w:tbl>
    <w:p w:rsidR="0081192A" w:rsidRDefault="0081192A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811D3B">
        <w:rPr>
          <w:rFonts w:ascii="Times New Roman" w:eastAsia="標楷體" w:hAnsi="標楷體" w:cs="Times New Roman" w:hint="eastAsia"/>
          <w:szCs w:val="24"/>
          <w:lang w:eastAsia="zh-TW"/>
        </w:rPr>
        <w:t>4</w:t>
      </w:r>
      <w:bookmarkStart w:id="0" w:name="_GoBack"/>
      <w:bookmarkEnd w:id="0"/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811D3B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8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9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E251F8" w:rsidRPr="00E251F8" w:rsidRDefault="00CB0CF9" w:rsidP="00E251F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E251F8" w:rsidRPr="00E251F8">
        <w:rPr>
          <w:rFonts w:ascii="Times New Roman" w:eastAsia="標楷體" w:hAnsi="標楷體" w:cs="Times New Roman"/>
          <w:szCs w:val="24"/>
          <w:lang w:eastAsia="zh-TW"/>
        </w:rPr>
        <w:t xml:space="preserve"> </w:t>
      </w:r>
      <w:r w:rsidR="00E251F8" w:rsidRPr="00E251F8">
        <w:rPr>
          <w:rFonts w:ascii="Times New Roman" w:eastAsia="標楷體" w:hAnsi="標楷體" w:cs="Times New Roman" w:hint="eastAsia"/>
          <w:szCs w:val="24"/>
          <w:lang w:eastAsia="zh-TW"/>
        </w:rPr>
        <w:t>高雄市立小港醫院</w:t>
      </w:r>
    </w:p>
    <w:tbl>
      <w:tblPr>
        <w:tblW w:w="5000" w:type="pct"/>
        <w:tblCellSpacing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7278"/>
      </w:tblGrid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搭乘高鐵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從左營站轉搭高雄捷運，往小港方向到R3小港站下車，從4號出口搭乘紅1或紅2捷運接駁車到達本院。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搭乘台鐵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從高雄火車站轉搭高雄捷運，往小港方向到R3小港站下車，從4號出口搭乘紅1或紅2捷運接駁車到達本院。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搭乘飛機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從高雄國際機場轉搭高雄捷運，往小港方向到R3小港站下車，從4號出口搭乘紅1或紅2捷運接駁車到達本院。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自行開車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11955" w:type="dxa"/>
              <w:tblCellSpacing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636"/>
              <w:gridCol w:w="10894"/>
            </w:tblGrid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（1）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中山高速公路終點下來，左轉沿中山四路往小港機場方向，經過機場後，直行接宏平路，右轉山明路直行即達本院。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（2）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高雄市區（三民區、前鎮區、苓雅區、新興區、前金區等）沿中山四路往小港機場方向，經過機場後，直行接宏平路，右轉山明路直行即達本院。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（3）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屏東、萬丹、大寮、林園往小港方向，由88快速道路下來，於高鳳路接高松路，右轉宏平路，左轉山明路直行即達本院。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（4）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墾丁、恆春、枋寮、佳冬、屏東、東港、林邊往高雄方向，經過林園，於沿海ㄧ路右轉漢民路直行至山明路交叉口即達本院。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（5）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那瑪夏、甲仙、杉林、桃源、六龜、美濃、旗山區，由國道10號接中山高速公路終點下來，左轉沿中山四路往小港機場方向，經過機場後，直行接宏平路，右轉山明路直行即達本院。</w:t>
                  </w:r>
                </w:p>
              </w:tc>
            </w:tr>
          </w:tbl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lastRenderedPageBreak/>
              <w:t>搭乘公車、客運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557"/>
              <w:gridCol w:w="9436"/>
            </w:tblGrid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（1）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市公車62（小港站＜＝＞大坪頂）、市公車69（小港站＜＝＞火車站）至山明路（小港醫院）下車。</w:t>
                  </w:r>
                </w:p>
              </w:tc>
            </w:tr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（2）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市公車12（小港站＜＝＞火車站）至宏平路與山明路交叉口下車，步行約5-10分鐘到達。</w:t>
                  </w:r>
                </w:p>
              </w:tc>
            </w:tr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（3）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國光、中南、高雄客運往高雄各線，至沿海路、漢民路口下車，可搭乘市公車62、69、紅1捷運接駁車到達本院。</w:t>
                  </w:r>
                </w:p>
              </w:tc>
            </w:tr>
          </w:tbl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捷運接駁車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　搭乘紅1（高雄餐旅大學＜＝＞捷運小港站）、紅2（捷運小港站＜＝＞鳳鼻頭）、紅3（捷運小港站＜＝＞林</w:t>
            </w:r>
          </w:p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      </w:t>
            </w: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園區公所）、紅8（小港站＜＝＞大寮區公所）捷運接駁車均有行駛到達本院。</w:t>
            </w:r>
          </w:p>
        </w:tc>
      </w:tr>
    </w:tbl>
    <w:p w:rsidR="004700E4" w:rsidRPr="004700E4" w:rsidRDefault="00E251F8" w:rsidP="00E251F8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jc w:val="center"/>
        <w:rPr>
          <w:rFonts w:ascii="Times New Roman" w:eastAsia="標楷體" w:hAnsi="標楷體" w:cs="Times New Roman"/>
        </w:rPr>
      </w:pPr>
      <w:r>
        <w:rPr>
          <w:noProof/>
        </w:rPr>
        <w:drawing>
          <wp:inline distT="0" distB="0" distL="0" distR="0">
            <wp:extent cx="4687677" cy="3505200"/>
            <wp:effectExtent l="0" t="0" r="0" b="0"/>
            <wp:docPr id="3" name="圖片 3" descr="http://www.kmhk.org.tw/cst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mhk.org.tw/cst/ma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99" cy="35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C2" w:rsidRDefault="001B2EB1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ED" w:rsidRDefault="003D07ED" w:rsidP="0081427E">
      <w:r>
        <w:separator/>
      </w:r>
    </w:p>
  </w:endnote>
  <w:endnote w:type="continuationSeparator" w:id="0">
    <w:p w:rsidR="003D07ED" w:rsidRDefault="003D07ED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ED" w:rsidRDefault="003D07ED" w:rsidP="0081427E">
      <w:r>
        <w:separator/>
      </w:r>
    </w:p>
  </w:footnote>
  <w:footnote w:type="continuationSeparator" w:id="0">
    <w:p w:rsidR="003D07ED" w:rsidRDefault="003D07ED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C07"/>
    <w:multiLevelType w:val="multilevel"/>
    <w:tmpl w:val="9CE0E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4" w15:restartNumberingAfterBreak="0">
    <w:nsid w:val="109D0201"/>
    <w:multiLevelType w:val="multilevel"/>
    <w:tmpl w:val="26B6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A5068"/>
    <w:multiLevelType w:val="multilevel"/>
    <w:tmpl w:val="DAE06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C3212"/>
    <w:multiLevelType w:val="multilevel"/>
    <w:tmpl w:val="56C2E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 w15:restartNumberingAfterBreak="0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594A254A"/>
    <w:multiLevelType w:val="multilevel"/>
    <w:tmpl w:val="60E82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C63CA4"/>
    <w:multiLevelType w:val="multilevel"/>
    <w:tmpl w:val="62862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1" w15:restartNumberingAfterBreak="0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9"/>
  </w:num>
  <w:num w:numId="8">
    <w:abstractNumId w:val="5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1"/>
  </w:num>
  <w:num w:numId="16">
    <w:abstractNumId w:val="6"/>
  </w:num>
  <w:num w:numId="17">
    <w:abstractNumId w:val="22"/>
  </w:num>
  <w:num w:numId="18">
    <w:abstractNumId w:val="4"/>
  </w:num>
  <w:num w:numId="19">
    <w:abstractNumId w:val="10"/>
  </w:num>
  <w:num w:numId="20">
    <w:abstractNumId w:val="16"/>
  </w:num>
  <w:num w:numId="21">
    <w:abstractNumId w:val="17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D674E"/>
    <w:rsid w:val="002D7ABB"/>
    <w:rsid w:val="003246B3"/>
    <w:rsid w:val="00330522"/>
    <w:rsid w:val="00330F39"/>
    <w:rsid w:val="003604D9"/>
    <w:rsid w:val="00397701"/>
    <w:rsid w:val="003D07ED"/>
    <w:rsid w:val="004148E0"/>
    <w:rsid w:val="004700E4"/>
    <w:rsid w:val="004743C2"/>
    <w:rsid w:val="004A30AC"/>
    <w:rsid w:val="004E4370"/>
    <w:rsid w:val="004E4525"/>
    <w:rsid w:val="005328E6"/>
    <w:rsid w:val="00567D3C"/>
    <w:rsid w:val="00596F50"/>
    <w:rsid w:val="005A2896"/>
    <w:rsid w:val="00697BD2"/>
    <w:rsid w:val="006C5763"/>
    <w:rsid w:val="006D13E5"/>
    <w:rsid w:val="007928BB"/>
    <w:rsid w:val="007A6905"/>
    <w:rsid w:val="007B59F7"/>
    <w:rsid w:val="007E3571"/>
    <w:rsid w:val="007F67B4"/>
    <w:rsid w:val="0081192A"/>
    <w:rsid w:val="00811D3B"/>
    <w:rsid w:val="0081427E"/>
    <w:rsid w:val="00894008"/>
    <w:rsid w:val="008C0DF2"/>
    <w:rsid w:val="008D2A06"/>
    <w:rsid w:val="0090180D"/>
    <w:rsid w:val="009339E8"/>
    <w:rsid w:val="00966EA7"/>
    <w:rsid w:val="0097078E"/>
    <w:rsid w:val="00974CA9"/>
    <w:rsid w:val="009A340E"/>
    <w:rsid w:val="009B0BC1"/>
    <w:rsid w:val="00A05067"/>
    <w:rsid w:val="00A95E01"/>
    <w:rsid w:val="00AD0926"/>
    <w:rsid w:val="00AE2006"/>
    <w:rsid w:val="00AF281C"/>
    <w:rsid w:val="00B21FF0"/>
    <w:rsid w:val="00B3696B"/>
    <w:rsid w:val="00B415FA"/>
    <w:rsid w:val="00B43A8A"/>
    <w:rsid w:val="00B63576"/>
    <w:rsid w:val="00BA25DB"/>
    <w:rsid w:val="00BB4946"/>
    <w:rsid w:val="00BD6C36"/>
    <w:rsid w:val="00C217D8"/>
    <w:rsid w:val="00C301C2"/>
    <w:rsid w:val="00C35BC6"/>
    <w:rsid w:val="00C60D10"/>
    <w:rsid w:val="00C94257"/>
    <w:rsid w:val="00CA7EB5"/>
    <w:rsid w:val="00CB0CF9"/>
    <w:rsid w:val="00CC1F70"/>
    <w:rsid w:val="00CC3496"/>
    <w:rsid w:val="00CC789D"/>
    <w:rsid w:val="00CF7035"/>
    <w:rsid w:val="00D17FAB"/>
    <w:rsid w:val="00E020CD"/>
    <w:rsid w:val="00E251F8"/>
    <w:rsid w:val="00E42276"/>
    <w:rsid w:val="00E42CF8"/>
    <w:rsid w:val="00E85A99"/>
    <w:rsid w:val="00EA22BF"/>
    <w:rsid w:val="00EB4E43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9A69DD0-3B69-4312-8535-926D227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  <w:style w:type="character" w:styleId="ab">
    <w:name w:val="Emphasis"/>
    <w:basedOn w:val="a0"/>
    <w:uiPriority w:val="20"/>
    <w:qFormat/>
    <w:rsid w:val="00E25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het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hhe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04EA-E247-4DB3-B6DF-394A5BE0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林峻毅@社區健康組</cp:lastModifiedBy>
  <cp:revision>8</cp:revision>
  <dcterms:created xsi:type="dcterms:W3CDTF">2017-11-16T01:45:00Z</dcterms:created>
  <dcterms:modified xsi:type="dcterms:W3CDTF">2017-11-24T09:14:00Z</dcterms:modified>
</cp:coreProperties>
</file>