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bookmarkEnd w:id="0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「金讚</w:t>
      </w:r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為行銷北部在地特色米品種，讓民眾了解北部稻米「安全、優質」優勢，特  辦理親子炒飯料理競賽活動，鼓勵民眾以親子組合參加，期望藉由活動從小灌輸食農教育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行政院農業委員會農糧署北區分署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主要炒飯食材(內容物以四章一Q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>郵寄地址：33065桃園市大同路111號 農糧署北區分署糧食產業課收(註明報名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金讚炒飯王料理競賽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r w:rsidR="004E5B5E" w:rsidRPr="00CF1CF2">
        <w:rPr>
          <w:rFonts w:ascii="標楷體" w:eastAsia="標楷體" w:hAnsi="標楷體" w:hint="eastAsia"/>
          <w:color w:val="auto"/>
          <w:szCs w:val="24"/>
        </w:rPr>
        <w:t>憑。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hyperlink r:id="rId8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九斗農場現場提供比賽用熟飯及簡易烹飪廚具、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 w:hint="eastAsia"/>
          <w:color w:val="auto"/>
          <w:szCs w:val="24"/>
        </w:rPr>
        <w:t>食材箱內容物將於11月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日以前公告於農糧署北區分署網站，依不同主題其內容物不盡相同，惟仍以日常家庭常用食材為原則，參賽者於比賽當日於抽籤後，即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(冷熟飯、品種為桃園3號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，名單將公布於「行政院農業委員會農糧署北區分署」全球資訊網（</w:t>
      </w:r>
      <w:hyperlink r:id="rId9" w:history="1">
        <w:r w:rsidR="009B2B66" w:rsidRPr="00C91177">
          <w:rPr>
            <w:rStyle w:val="a5"/>
            <w:rFonts w:ascii="標楷體" w:eastAsia="標楷體" w:hAnsi="標楷體" w:cs="標楷體"/>
            <w:szCs w:val="24"/>
          </w:rPr>
          <w:t>http://www.tefd.gov.tw</w:t>
        </w:r>
      </w:hyperlink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(現場食材於決賽前三天公佈於北區分署網站)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自行另備特殊四章一Q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9B2B66">
        <w:rPr>
          <w:rFonts w:ascii="標楷體" w:eastAsia="標楷體" w:hAnsi="標楷體" w:cs="標楷體"/>
          <w:color w:val="auto"/>
          <w:szCs w:val="24"/>
        </w:rPr>
        <w:t>），另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，再依權重併入總分計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其他未盡事宜，主辦單位保留修改、終止、變更活動內容細節之權利，且不另行通知。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10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「金讚炒飯王烹飪比賽」報名表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驗證(具有產銷履歷TAP、有機驗證標章、CAS標章)食材者可加分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特殊食材或調味料需自備，一般性食材由主辦單位提供。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「金讚炒飯王」料理競賽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（包括：姓名、電子郵件、聯絡方式........等），將由農糧署北區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農糧署北區分署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立書人: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CE" w:rsidRDefault="000838CE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0838CE" w:rsidRDefault="000838CE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CE" w:rsidRDefault="000838CE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0838CE" w:rsidRDefault="000838CE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1"/>
    <w:rsid w:val="00021013"/>
    <w:rsid w:val="000838CE"/>
    <w:rsid w:val="000B4577"/>
    <w:rsid w:val="00103927"/>
    <w:rsid w:val="00140879"/>
    <w:rsid w:val="001A22B4"/>
    <w:rsid w:val="002C50BD"/>
    <w:rsid w:val="002D10E2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8B17BF"/>
    <w:rsid w:val="009B2B66"/>
    <w:rsid w:val="009F1C4D"/>
    <w:rsid w:val="00A564C4"/>
    <w:rsid w:val="00B71ACF"/>
    <w:rsid w:val="00C81B0F"/>
    <w:rsid w:val="00C91177"/>
    <w:rsid w:val="00CF1CF2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30027-7F9A-4694-963A-B90FF4E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/ch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fd.gov.tw/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fd.gov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9A9A-8AE9-4FBC-91DF-59C21615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USER</cp:lastModifiedBy>
  <cp:revision>2</cp:revision>
  <cp:lastPrinted>2017-10-11T08:54:00Z</cp:lastPrinted>
  <dcterms:created xsi:type="dcterms:W3CDTF">2017-11-07T09:26:00Z</dcterms:created>
  <dcterms:modified xsi:type="dcterms:W3CDTF">2017-11-07T09:26:00Z</dcterms:modified>
</cp:coreProperties>
</file>