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bookmarkStart w:id="0" w:name="_GoBack"/>
      <w:bookmarkEnd w:id="0"/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就業服務法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-</w:t>
      </w:r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第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24</w:t>
      </w:r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條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(</w:t>
      </w:r>
      <w:r w:rsidRPr="006831DF">
        <w:rPr>
          <w:rFonts w:ascii="新細明體" w:eastAsia="新細明體" w:hAnsi="新細明體" w:cs="Arial" w:hint="eastAsia"/>
          <w:b/>
          <w:bCs/>
          <w:color w:val="222222"/>
          <w:kern w:val="0"/>
          <w:sz w:val="21"/>
          <w:szCs w:val="21"/>
        </w:rPr>
        <w:t>特定對象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):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主管機關對下列自願就業人員，應訂定計畫，致力促進其就業；必要時，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得發給相關津貼或補助金：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一、獨力負擔家計者。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二、中高齡者。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三、身心障礙者。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四、原住民。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五、低收入戶或中低收入戶中有工作能力者。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六、長期失業者。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七、二度就業婦女。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八、家庭暴力被害人。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九、更生受保護人。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十、其他經中央主管機關認為有必要者。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前項計畫應定期檢討，落實其成效。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第一項津貼或補助金之申請資格、金額、期間、經費來源及其他相關事項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之辦法，由主管機關定之。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 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6831DF">
        <w:rPr>
          <w:rFonts w:ascii="新細明體" w:eastAsia="新細明體" w:hAnsi="新細明體" w:cs="Arial" w:hint="eastAsia"/>
          <w:b/>
          <w:bCs/>
          <w:color w:val="222222"/>
          <w:kern w:val="0"/>
          <w:sz w:val="21"/>
          <w:szCs w:val="21"/>
        </w:rPr>
        <w:t>就業弱勢家庭</w:t>
      </w:r>
      <w:r w:rsidR="006831DF">
        <w:rPr>
          <w:rFonts w:ascii="Arial" w:eastAsia="新細明體" w:hAnsi="Arial" w:cs="Arial" w:hint="eastAsia"/>
          <w:color w:val="222222"/>
          <w:kern w:val="0"/>
          <w:sz w:val="21"/>
          <w:szCs w:val="21"/>
        </w:rPr>
        <w:t>：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1. 外籍配偶或大陸地區配偶。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2. 特殊境遇家庭身分認定者。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3. 弱勢青少年：15 歲以上未滿24 歲，未升學未就業、偏遠地區或高危機高關懷青少年。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4. 各直轄市、縣(市)毒品危害防制中心轉介藥癮個案。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5. 經濟弱勢戶(高風險家庭個案、遊民)。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6. 犯罪被害人(含人口販運被害人及疑似被害人)。</w:t>
      </w:r>
    </w:p>
    <w:p w:rsidR="009B235F" w:rsidRDefault="00E932CB"/>
    <w:sectPr w:rsidR="009B23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4A"/>
    <w:rsid w:val="00087319"/>
    <w:rsid w:val="006831DF"/>
    <w:rsid w:val="00BC214A"/>
    <w:rsid w:val="00D24F78"/>
    <w:rsid w:val="00E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03E2-57E3-4A43-83BD-4CB141C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事務組長</cp:lastModifiedBy>
  <cp:revision>2</cp:revision>
  <dcterms:created xsi:type="dcterms:W3CDTF">2017-07-05T03:58:00Z</dcterms:created>
  <dcterms:modified xsi:type="dcterms:W3CDTF">2017-07-05T03:58:00Z</dcterms:modified>
</cp:coreProperties>
</file>