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94D" w:rsidRPr="0093094D" w:rsidRDefault="0093094D" w:rsidP="0093094D">
      <w:pPr>
        <w:snapToGrid w:val="0"/>
        <w:spacing w:line="288" w:lineRule="auto"/>
        <w:jc w:val="center"/>
        <w:rPr>
          <w:rFonts w:ascii="新細明體" w:hAnsi="新細明體"/>
          <w:b/>
          <w:bCs/>
          <w:color w:val="000000" w:themeColor="text1"/>
          <w:sz w:val="40"/>
          <w:bdr w:val="single" w:sz="4" w:space="0" w:color="auto"/>
        </w:rPr>
      </w:pPr>
      <w:bookmarkStart w:id="0" w:name="_GoBack"/>
      <w:bookmarkEnd w:id="0"/>
      <w:r w:rsidRPr="0093094D">
        <w:rPr>
          <w:rFonts w:ascii="新細明體" w:hAnsi="新細明體" w:hint="eastAsia"/>
          <w:b/>
          <w:bCs/>
          <w:color w:val="000000" w:themeColor="text1"/>
          <w:sz w:val="40"/>
          <w:bdr w:val="single" w:sz="4" w:space="0" w:color="auto"/>
        </w:rPr>
        <w:t>都市博物學家</w:t>
      </w:r>
      <w:r w:rsidR="00156343">
        <w:rPr>
          <w:rFonts w:ascii="新細明體" w:hAnsi="新細明體" w:hint="eastAsia"/>
          <w:b/>
          <w:bCs/>
          <w:color w:val="000000" w:themeColor="text1"/>
          <w:sz w:val="40"/>
          <w:bdr w:val="single" w:sz="4" w:space="0" w:color="auto"/>
        </w:rPr>
        <w:t>【地球日特別企劃】</w:t>
      </w:r>
    </w:p>
    <w:p w:rsidR="0093094D" w:rsidRPr="0093094D" w:rsidRDefault="0093094D" w:rsidP="0093094D">
      <w:pPr>
        <w:spacing w:line="288" w:lineRule="auto"/>
        <w:rPr>
          <w:rFonts w:ascii="新細明體" w:hAnsi="新細明體"/>
          <w:color w:val="000000" w:themeColor="text1"/>
          <w:spacing w:val="15"/>
          <w:shd w:val="clear" w:color="auto" w:fill="FFFFFF"/>
        </w:rPr>
      </w:pPr>
      <w:r w:rsidRPr="0093094D">
        <w:rPr>
          <w:rFonts w:ascii="新細明體" w:hAnsi="新細明體" w:hint="eastAsia"/>
          <w:color w:val="000000" w:themeColor="text1"/>
          <w:spacing w:val="15"/>
          <w:shd w:val="clear" w:color="auto" w:fill="FFFFFF"/>
        </w:rPr>
        <w:t>布豐、林奈、達爾文、斯文豪</w:t>
      </w:r>
      <w:r w:rsidRPr="0093094D">
        <w:rPr>
          <w:rFonts w:ascii="新細明體" w:hAnsi="新細明體"/>
          <w:color w:val="000000" w:themeColor="text1"/>
          <w:spacing w:val="15"/>
          <w:shd w:val="clear" w:color="auto" w:fill="FFFFFF"/>
        </w:rPr>
        <w:t>……</w:t>
      </w:r>
      <w:r w:rsidRPr="0093094D">
        <w:rPr>
          <w:rFonts w:ascii="新細明體" w:hAnsi="新細明體" w:hint="eastAsia"/>
          <w:color w:val="000000" w:themeColor="text1"/>
          <w:spacing w:val="15"/>
          <w:shd w:val="clear" w:color="auto" w:fill="FFFFFF"/>
        </w:rPr>
        <w:t>這些大眾耳熟能詳的博物學家在自然史研究與博物館史上扮演著不可或缺的角色，但到了資訊發達、科技普</w:t>
      </w:r>
      <w:r>
        <w:rPr>
          <w:rFonts w:ascii="新細明體" w:hAnsi="新細明體" w:hint="eastAsia"/>
          <w:color w:val="000000" w:themeColor="text1"/>
          <w:spacing w:val="15"/>
          <w:shd w:val="clear" w:color="auto" w:fill="FFFFFF"/>
        </w:rPr>
        <w:t>及的現今，每個人都有潛力成為都市裡的博物學家。國立臺灣博物館邀您一起探索都市中的</w:t>
      </w:r>
      <w:r w:rsidRPr="0093094D">
        <w:rPr>
          <w:rFonts w:ascii="新細明體" w:hAnsi="新細明體" w:hint="eastAsia"/>
          <w:color w:val="000000" w:themeColor="text1"/>
          <w:spacing w:val="15"/>
          <w:shd w:val="clear" w:color="auto" w:fill="FFFFFF"/>
        </w:rPr>
        <w:t>博物學！詳情請洽國立臺灣博物館活動頁面。</w:t>
      </w:r>
    </w:p>
    <w:p w:rsidR="0093094D" w:rsidRPr="0093094D" w:rsidRDefault="00DD67EB" w:rsidP="0093094D">
      <w:pPr>
        <w:snapToGrid w:val="0"/>
        <w:spacing w:line="288" w:lineRule="auto"/>
        <w:jc w:val="both"/>
        <w:rPr>
          <w:rFonts w:ascii="新細明體" w:hAnsi="新細明體"/>
          <w:bCs/>
          <w:color w:val="000000" w:themeColor="text1"/>
        </w:rPr>
      </w:pPr>
      <w:hyperlink r:id="rId5" w:history="1">
        <w:r w:rsidR="0093094D" w:rsidRPr="0093094D">
          <w:rPr>
            <w:rStyle w:val="a4"/>
            <w:rFonts w:ascii="新細明體" w:hAnsi="新細明體"/>
            <w:bCs/>
          </w:rPr>
          <w:t>http://event.culture.tw/NTM/portal/Registration/C0103MAction?actId=70023</w:t>
        </w:r>
      </w:hyperlink>
      <w:r w:rsidR="0093094D" w:rsidRPr="0093094D">
        <w:rPr>
          <w:rFonts w:ascii="新細明體" w:hAnsi="新細明體" w:hint="eastAsia"/>
          <w:bCs/>
          <w:color w:val="000000" w:themeColor="text1"/>
        </w:rPr>
        <w:t xml:space="preserve"> </w:t>
      </w:r>
    </w:p>
    <w:p w:rsidR="0093094D" w:rsidRPr="0093094D" w:rsidRDefault="00156343" w:rsidP="0093094D">
      <w:pPr>
        <w:snapToGrid w:val="0"/>
        <w:spacing w:line="288" w:lineRule="auto"/>
        <w:jc w:val="both"/>
        <w:rPr>
          <w:rFonts w:ascii="新細明體" w:hAnsi="新細明體"/>
          <w:b/>
          <w:bCs/>
          <w:color w:val="000000" w:themeColor="text1"/>
          <w:sz w:val="32"/>
        </w:rPr>
      </w:pPr>
      <w:r>
        <w:rPr>
          <w:rFonts w:ascii="新細明體" w:hAnsi="新細明體" w:hint="eastAsia"/>
          <w:b/>
          <w:bCs/>
          <w:color w:val="000000" w:themeColor="text1"/>
          <w:sz w:val="32"/>
        </w:rPr>
        <w:t>快閃全民科學家</w:t>
      </w:r>
      <w:r w:rsidR="0093094D" w:rsidRPr="0093094D">
        <w:rPr>
          <w:rFonts w:ascii="新細明體" w:hAnsi="新細明體" w:hint="eastAsia"/>
          <w:b/>
          <w:bCs/>
          <w:color w:val="000000" w:themeColor="text1"/>
          <w:sz w:val="32"/>
        </w:rPr>
        <w:t>-都市綠地生態監測工作坊</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■費用：免費</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■對象：高中以上對自然生態有興趣的民眾。</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■報名方式：</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網路報名請至臺博官網活動頁面報名，並請於活動前20分鐘完成報到。</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現場報名請於提前半小時登記報名</w:t>
      </w:r>
      <w:r w:rsidRPr="0093094D">
        <w:rPr>
          <w:rFonts w:ascii="新細明體" w:hAnsi="新細明體" w:hint="eastAsia"/>
          <w:color w:val="000000" w:themeColor="text1"/>
          <w:spacing w:val="15"/>
          <w:shd w:val="clear" w:color="auto" w:fill="FFFFFF"/>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2977"/>
        <w:gridCol w:w="2552"/>
        <w:gridCol w:w="1275"/>
      </w:tblGrid>
      <w:tr w:rsidR="0093094D" w:rsidRPr="0093094D" w:rsidTr="00C4199C">
        <w:trPr>
          <w:trHeight w:val="336"/>
        </w:trPr>
        <w:tc>
          <w:tcPr>
            <w:tcW w:w="113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日期</w:t>
            </w:r>
          </w:p>
        </w:tc>
        <w:tc>
          <w:tcPr>
            <w:tcW w:w="1559"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時間</w:t>
            </w:r>
          </w:p>
        </w:tc>
        <w:tc>
          <w:tcPr>
            <w:tcW w:w="2977" w:type="dxa"/>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講題</w:t>
            </w:r>
          </w:p>
        </w:tc>
        <w:tc>
          <w:tcPr>
            <w:tcW w:w="2552"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講師</w:t>
            </w:r>
          </w:p>
        </w:tc>
        <w:tc>
          <w:tcPr>
            <w:tcW w:w="127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地點</w:t>
            </w:r>
          </w:p>
        </w:tc>
      </w:tr>
      <w:tr w:rsidR="0093094D" w:rsidRPr="0093094D" w:rsidTr="00C4199C">
        <w:trPr>
          <w:trHeight w:val="385"/>
        </w:trPr>
        <w:tc>
          <w:tcPr>
            <w:tcW w:w="1135" w:type="dxa"/>
            <w:vMerge w:val="restart"/>
            <w:shd w:val="clear" w:color="auto" w:fill="auto"/>
            <w:vAlign w:val="center"/>
          </w:tcPr>
          <w:p w:rsidR="0093094D" w:rsidRPr="0093094D" w:rsidRDefault="0093094D" w:rsidP="0093094D">
            <w:pPr>
              <w:spacing w:line="288" w:lineRule="auto"/>
              <w:rPr>
                <w:rFonts w:ascii="新細明體" w:hAnsi="新細明體"/>
                <w:color w:val="000000" w:themeColor="text1"/>
              </w:rPr>
            </w:pPr>
            <w:r w:rsidRPr="0093094D">
              <w:rPr>
                <w:rFonts w:ascii="新細明體" w:hAnsi="新細明體"/>
                <w:color w:val="000000" w:themeColor="text1"/>
              </w:rPr>
              <w:t>105/04/</w:t>
            </w:r>
            <w:r w:rsidRPr="0093094D">
              <w:rPr>
                <w:rFonts w:ascii="新細明體" w:hAnsi="新細明體" w:hint="eastAsia"/>
                <w:color w:val="000000" w:themeColor="text1"/>
              </w:rPr>
              <w:t>09</w:t>
            </w:r>
            <w:r w:rsidRPr="0093094D">
              <w:rPr>
                <w:rFonts w:ascii="新細明體" w:hAnsi="新細明體"/>
                <w:color w:val="000000" w:themeColor="text1"/>
              </w:rPr>
              <w:t xml:space="preserve"> </w:t>
            </w:r>
            <w:r w:rsidRPr="0093094D">
              <w:rPr>
                <w:rFonts w:hint="eastAsia"/>
                <w:color w:val="000000" w:themeColor="text1"/>
              </w:rPr>
              <w:t>(</w:t>
            </w:r>
            <w:r w:rsidRPr="0093094D">
              <w:rPr>
                <w:rFonts w:hint="eastAsia"/>
                <w:color w:val="000000" w:themeColor="text1"/>
              </w:rPr>
              <w:t>日</w:t>
            </w:r>
            <w:r w:rsidRPr="0093094D">
              <w:rPr>
                <w:rFonts w:hint="eastAsia"/>
                <w:color w:val="000000" w:themeColor="text1"/>
              </w:rPr>
              <w:t>)</w:t>
            </w:r>
          </w:p>
        </w:tc>
        <w:tc>
          <w:tcPr>
            <w:tcW w:w="1559"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09</w:t>
            </w:r>
            <w:r w:rsidRPr="0093094D">
              <w:rPr>
                <w:rFonts w:eastAsia="標楷體"/>
                <w:color w:val="000000" w:themeColor="text1"/>
              </w:rPr>
              <w:t>:</w:t>
            </w:r>
            <w:r w:rsidRPr="0093094D">
              <w:rPr>
                <w:rFonts w:eastAsia="標楷體" w:hint="eastAsia"/>
                <w:color w:val="000000" w:themeColor="text1"/>
              </w:rPr>
              <w:t>3</w:t>
            </w:r>
            <w:r w:rsidRPr="0093094D">
              <w:rPr>
                <w:rFonts w:eastAsia="標楷體"/>
                <w:color w:val="000000" w:themeColor="text1"/>
              </w:rPr>
              <w:t>0-1</w:t>
            </w:r>
            <w:r w:rsidRPr="0093094D">
              <w:rPr>
                <w:rFonts w:eastAsia="標楷體" w:hint="eastAsia"/>
                <w:color w:val="000000" w:themeColor="text1"/>
              </w:rPr>
              <w:t>2</w:t>
            </w:r>
            <w:r w:rsidRPr="0093094D">
              <w:rPr>
                <w:rFonts w:eastAsia="標楷體"/>
                <w:color w:val="000000" w:themeColor="text1"/>
              </w:rPr>
              <w:t>:00</w:t>
            </w:r>
          </w:p>
        </w:tc>
        <w:tc>
          <w:tcPr>
            <w:tcW w:w="2977" w:type="dxa"/>
          </w:tcPr>
          <w:p w:rsidR="0093094D" w:rsidRPr="0093094D" w:rsidRDefault="0093094D" w:rsidP="0093094D">
            <w:pPr>
              <w:spacing w:line="288" w:lineRule="auto"/>
              <w:rPr>
                <w:color w:val="000000" w:themeColor="text1"/>
              </w:rPr>
            </w:pPr>
            <w:r w:rsidRPr="0093094D">
              <w:rPr>
                <w:rFonts w:hint="eastAsia"/>
                <w:color w:val="000000" w:themeColor="text1"/>
              </w:rPr>
              <w:t>都市綠地樹木之生態價值：</w:t>
            </w:r>
            <w:r w:rsidRPr="0093094D">
              <w:rPr>
                <w:rFonts w:hint="eastAsia"/>
                <w:color w:val="000000" w:themeColor="text1"/>
              </w:rPr>
              <w:t>iTree</w:t>
            </w:r>
            <w:r w:rsidRPr="0093094D">
              <w:rPr>
                <w:rFonts w:hint="eastAsia"/>
                <w:color w:val="000000" w:themeColor="text1"/>
              </w:rPr>
              <w:t>系統介紹與示範</w:t>
            </w:r>
          </w:p>
        </w:tc>
        <w:tc>
          <w:tcPr>
            <w:tcW w:w="2552"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陸聲山</w:t>
            </w:r>
            <w:r w:rsidRPr="0093094D">
              <w:rPr>
                <w:rFonts w:ascii="Arial" w:hAnsi="Arial" w:cs="Arial"/>
                <w:color w:val="000000" w:themeColor="text1"/>
                <w:shd w:val="clear" w:color="auto" w:fill="FFFFFF"/>
              </w:rPr>
              <w:t>（農委會林業試驗所</w:t>
            </w:r>
            <w:r w:rsidRPr="0093094D">
              <w:rPr>
                <w:rFonts w:ascii="Arial" w:hAnsi="Arial" w:cs="Arial" w:hint="eastAsia"/>
                <w:color w:val="000000" w:themeColor="text1"/>
                <w:shd w:val="clear" w:color="auto" w:fill="FFFFFF"/>
              </w:rPr>
              <w:t>副研究員</w:t>
            </w:r>
            <w:r w:rsidRPr="0093094D">
              <w:rPr>
                <w:rFonts w:ascii="Arial" w:hAnsi="Arial" w:cs="Arial"/>
                <w:color w:val="000000" w:themeColor="text1"/>
                <w:shd w:val="clear" w:color="auto" w:fill="FFFFFF"/>
              </w:rPr>
              <w:t>）</w:t>
            </w:r>
          </w:p>
        </w:tc>
        <w:tc>
          <w:tcPr>
            <w:tcW w:w="1275" w:type="dxa"/>
            <w:vMerge w:val="restart"/>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南門園區小白宮</w:t>
            </w:r>
          </w:p>
        </w:tc>
      </w:tr>
      <w:tr w:rsidR="0093094D" w:rsidRPr="0093094D" w:rsidTr="00C4199C">
        <w:trPr>
          <w:trHeight w:val="385"/>
        </w:trPr>
        <w:tc>
          <w:tcPr>
            <w:tcW w:w="1135" w:type="dxa"/>
            <w:vMerge/>
            <w:shd w:val="clear" w:color="auto" w:fill="auto"/>
            <w:vAlign w:val="center"/>
          </w:tcPr>
          <w:p w:rsidR="0093094D" w:rsidRPr="0093094D" w:rsidRDefault="0093094D" w:rsidP="0093094D">
            <w:pPr>
              <w:spacing w:line="288" w:lineRule="auto"/>
              <w:rPr>
                <w:rFonts w:ascii="新細明體" w:hAnsi="新細明體"/>
                <w:color w:val="000000" w:themeColor="text1"/>
              </w:rPr>
            </w:pPr>
          </w:p>
        </w:tc>
        <w:tc>
          <w:tcPr>
            <w:tcW w:w="1559"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14:00-16:30</w:t>
            </w:r>
          </w:p>
        </w:tc>
        <w:tc>
          <w:tcPr>
            <w:tcW w:w="2977" w:type="dxa"/>
          </w:tcPr>
          <w:p w:rsidR="0093094D" w:rsidRPr="0093094D" w:rsidRDefault="0093094D" w:rsidP="0093094D">
            <w:pPr>
              <w:spacing w:line="288" w:lineRule="auto"/>
              <w:rPr>
                <w:color w:val="000000" w:themeColor="text1"/>
              </w:rPr>
            </w:pPr>
            <w:r w:rsidRPr="0093094D">
              <w:rPr>
                <w:rFonts w:hint="eastAsia"/>
                <w:color w:val="000000" w:themeColor="text1"/>
              </w:rPr>
              <w:t>樹木告訴我們的身體秘密──公園樹木物候觀察</w:t>
            </w:r>
          </w:p>
        </w:tc>
        <w:tc>
          <w:tcPr>
            <w:tcW w:w="2552"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王相華（農委會林業試驗所研究員）</w:t>
            </w:r>
          </w:p>
        </w:tc>
        <w:tc>
          <w:tcPr>
            <w:tcW w:w="1275" w:type="dxa"/>
            <w:vMerge/>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p>
        </w:tc>
      </w:tr>
    </w:tbl>
    <w:p w:rsidR="0093094D" w:rsidRPr="0093094D" w:rsidRDefault="0093094D" w:rsidP="0093094D">
      <w:pPr>
        <w:snapToGrid w:val="0"/>
        <w:spacing w:line="288" w:lineRule="auto"/>
        <w:jc w:val="both"/>
        <w:rPr>
          <w:rFonts w:ascii="新細明體" w:hAnsi="新細明體"/>
          <w:b/>
          <w:bCs/>
          <w:color w:val="000000" w:themeColor="text1"/>
        </w:rPr>
      </w:pPr>
    </w:p>
    <w:p w:rsidR="0093094D" w:rsidRPr="0093094D" w:rsidRDefault="0093094D" w:rsidP="0093094D">
      <w:pPr>
        <w:snapToGrid w:val="0"/>
        <w:spacing w:line="288" w:lineRule="auto"/>
        <w:jc w:val="both"/>
        <w:rPr>
          <w:rFonts w:ascii="新細明體" w:hAnsi="新細明體"/>
          <w:b/>
          <w:bCs/>
          <w:color w:val="000000" w:themeColor="text1"/>
          <w:sz w:val="32"/>
        </w:rPr>
      </w:pPr>
      <w:r w:rsidRPr="0093094D">
        <w:rPr>
          <w:rFonts w:ascii="新細明體" w:hAnsi="新細明體" w:hint="eastAsia"/>
          <w:b/>
          <w:bCs/>
          <w:color w:val="000000" w:themeColor="text1"/>
          <w:sz w:val="32"/>
        </w:rPr>
        <w:t>手繪生態活動</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■費用：免費，但需購票入館</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w:t>
      </w:r>
      <w:r>
        <w:rPr>
          <w:rFonts w:hint="eastAsia"/>
          <w:color w:val="000000" w:themeColor="text1"/>
        </w:rPr>
        <w:t>兒童繪本創作</w:t>
      </w:r>
      <w:r w:rsidRPr="0093094D">
        <w:rPr>
          <w:rFonts w:ascii="新細明體" w:hAnsi="新細明體" w:hint="eastAsia"/>
          <w:color w:val="000000" w:themeColor="text1"/>
        </w:rPr>
        <w:t>」對象：小學3年級以上至小學6年級之</w:t>
      </w:r>
      <w:r>
        <w:rPr>
          <w:rFonts w:ascii="新細明體" w:hAnsi="新細明體" w:hint="eastAsia"/>
          <w:color w:val="000000" w:themeColor="text1"/>
        </w:rPr>
        <w:t>在學</w:t>
      </w:r>
      <w:r w:rsidRPr="0093094D">
        <w:rPr>
          <w:rFonts w:ascii="新細明體" w:hAnsi="新細明體" w:hint="eastAsia"/>
          <w:color w:val="000000" w:themeColor="text1"/>
        </w:rPr>
        <w:t>學童。</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■報名方式：</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w:t>
      </w:r>
      <w:r>
        <w:rPr>
          <w:rFonts w:hint="eastAsia"/>
          <w:color w:val="000000" w:themeColor="text1"/>
        </w:rPr>
        <w:t>兒童繪本創作</w:t>
      </w:r>
      <w:r w:rsidRPr="0093094D">
        <w:rPr>
          <w:rFonts w:ascii="新細明體" w:hAnsi="新細明體" w:hint="eastAsia"/>
          <w:color w:val="000000" w:themeColor="text1"/>
        </w:rPr>
        <w:t>」</w:t>
      </w:r>
      <w:r>
        <w:rPr>
          <w:rFonts w:ascii="新細明體" w:hAnsi="新細明體" w:hint="eastAsia"/>
          <w:color w:val="000000" w:themeColor="text1"/>
        </w:rPr>
        <w:t>僅開放網路報名，</w:t>
      </w:r>
      <w:r w:rsidRPr="0093094D">
        <w:rPr>
          <w:rFonts w:ascii="新細明體" w:hAnsi="新細明體" w:hint="eastAsia"/>
          <w:color w:val="000000" w:themeColor="text1"/>
        </w:rPr>
        <w:t>請至臺博官網活動頁面報名，並請於活動前20分鐘完成報到。</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w:t>
      </w:r>
      <w:r w:rsidRPr="0093094D">
        <w:rPr>
          <w:rFonts w:hint="eastAsia"/>
          <w:color w:val="000000" w:themeColor="text1"/>
        </w:rPr>
        <w:t>手繪自然史博物館</w:t>
      </w:r>
      <w:r w:rsidRPr="0093094D">
        <w:rPr>
          <w:rFonts w:ascii="新細明體" w:hAnsi="新細明體" w:hint="eastAsia"/>
          <w:color w:val="000000" w:themeColor="text1"/>
        </w:rPr>
        <w:t>」不須報名。</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2268"/>
        <w:gridCol w:w="1985"/>
        <w:gridCol w:w="2409"/>
      </w:tblGrid>
      <w:tr w:rsidR="0093094D" w:rsidRPr="0093094D" w:rsidTr="0093094D">
        <w:trPr>
          <w:trHeight w:val="336"/>
        </w:trPr>
        <w:tc>
          <w:tcPr>
            <w:tcW w:w="113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日期</w:t>
            </w:r>
          </w:p>
        </w:tc>
        <w:tc>
          <w:tcPr>
            <w:tcW w:w="1417"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時間</w:t>
            </w:r>
          </w:p>
        </w:tc>
        <w:tc>
          <w:tcPr>
            <w:tcW w:w="2268" w:type="dxa"/>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講題</w:t>
            </w:r>
          </w:p>
        </w:tc>
        <w:tc>
          <w:tcPr>
            <w:tcW w:w="198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講師</w:t>
            </w:r>
          </w:p>
        </w:tc>
        <w:tc>
          <w:tcPr>
            <w:tcW w:w="2409"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地點</w:t>
            </w:r>
          </w:p>
        </w:tc>
      </w:tr>
      <w:tr w:rsidR="0093094D" w:rsidRPr="0093094D" w:rsidTr="0093094D">
        <w:trPr>
          <w:trHeight w:val="385"/>
        </w:trPr>
        <w:tc>
          <w:tcPr>
            <w:tcW w:w="1135" w:type="dxa"/>
            <w:vMerge w:val="restart"/>
            <w:shd w:val="clear" w:color="auto" w:fill="auto"/>
            <w:vAlign w:val="center"/>
          </w:tcPr>
          <w:p w:rsidR="0093094D" w:rsidRPr="0093094D" w:rsidRDefault="0093094D" w:rsidP="0093094D">
            <w:pPr>
              <w:spacing w:line="288" w:lineRule="auto"/>
              <w:rPr>
                <w:rFonts w:ascii="新細明體" w:hAnsi="新細明體"/>
                <w:color w:val="000000" w:themeColor="text1"/>
              </w:rPr>
            </w:pPr>
            <w:r w:rsidRPr="0093094D">
              <w:rPr>
                <w:rFonts w:ascii="新細明體" w:hAnsi="新細明體"/>
                <w:color w:val="000000" w:themeColor="text1"/>
              </w:rPr>
              <w:t>105/04/</w:t>
            </w:r>
            <w:r w:rsidRPr="0093094D">
              <w:rPr>
                <w:rFonts w:ascii="新細明體" w:hAnsi="新細明體" w:hint="eastAsia"/>
                <w:color w:val="000000" w:themeColor="text1"/>
              </w:rPr>
              <w:t>22</w:t>
            </w:r>
            <w:r w:rsidRPr="0093094D">
              <w:rPr>
                <w:rFonts w:ascii="新細明體" w:hAnsi="新細明體"/>
                <w:color w:val="000000" w:themeColor="text1"/>
              </w:rPr>
              <w:t xml:space="preserve"> </w:t>
            </w:r>
            <w:r w:rsidRPr="0093094D">
              <w:rPr>
                <w:rFonts w:hint="eastAsia"/>
                <w:color w:val="000000" w:themeColor="text1"/>
              </w:rPr>
              <w:t>(</w:t>
            </w:r>
            <w:r w:rsidRPr="0093094D">
              <w:rPr>
                <w:rFonts w:hint="eastAsia"/>
                <w:color w:val="000000" w:themeColor="text1"/>
              </w:rPr>
              <w:t>六</w:t>
            </w:r>
            <w:r w:rsidRPr="0093094D">
              <w:rPr>
                <w:rFonts w:hint="eastAsia"/>
                <w:color w:val="000000" w:themeColor="text1"/>
              </w:rPr>
              <w:t>)</w:t>
            </w:r>
          </w:p>
        </w:tc>
        <w:tc>
          <w:tcPr>
            <w:tcW w:w="1417"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10</w:t>
            </w:r>
            <w:r w:rsidRPr="0093094D">
              <w:rPr>
                <w:rFonts w:eastAsia="標楷體"/>
                <w:color w:val="000000" w:themeColor="text1"/>
              </w:rPr>
              <w:t>:00-1</w:t>
            </w:r>
            <w:r w:rsidRPr="0093094D">
              <w:rPr>
                <w:rFonts w:eastAsia="標楷體" w:hint="eastAsia"/>
                <w:color w:val="000000" w:themeColor="text1"/>
              </w:rPr>
              <w:t>2</w:t>
            </w:r>
            <w:r w:rsidRPr="0093094D">
              <w:rPr>
                <w:rFonts w:eastAsia="標楷體"/>
                <w:color w:val="000000" w:themeColor="text1"/>
              </w:rPr>
              <w:t>:00</w:t>
            </w:r>
          </w:p>
        </w:tc>
        <w:tc>
          <w:tcPr>
            <w:tcW w:w="2268" w:type="dxa"/>
          </w:tcPr>
          <w:p w:rsidR="0093094D" w:rsidRDefault="0093094D" w:rsidP="0093094D">
            <w:pPr>
              <w:spacing w:line="288" w:lineRule="auto"/>
              <w:rPr>
                <w:color w:val="000000" w:themeColor="text1"/>
              </w:rPr>
            </w:pPr>
            <w:r>
              <w:rPr>
                <w:rFonts w:hint="eastAsia"/>
                <w:color w:val="000000" w:themeColor="text1"/>
              </w:rPr>
              <w:t>[</w:t>
            </w:r>
            <w:r>
              <w:rPr>
                <w:rFonts w:hint="eastAsia"/>
                <w:color w:val="000000" w:themeColor="text1"/>
              </w:rPr>
              <w:t>兒童繪本創作</w:t>
            </w:r>
            <w:r>
              <w:rPr>
                <w:rFonts w:hint="eastAsia"/>
                <w:color w:val="000000" w:themeColor="text1"/>
              </w:rPr>
              <w:t>]</w:t>
            </w:r>
          </w:p>
          <w:p w:rsidR="0093094D" w:rsidRPr="0093094D" w:rsidRDefault="0093094D" w:rsidP="0093094D">
            <w:pPr>
              <w:spacing w:line="288" w:lineRule="auto"/>
              <w:rPr>
                <w:color w:val="000000" w:themeColor="text1"/>
              </w:rPr>
            </w:pPr>
            <w:r w:rsidRPr="0093094D">
              <w:rPr>
                <w:rFonts w:hint="eastAsia"/>
                <w:color w:val="000000" w:themeColor="text1"/>
              </w:rPr>
              <w:t>手繪都市生態</w:t>
            </w:r>
          </w:p>
        </w:tc>
        <w:tc>
          <w:tcPr>
            <w:tcW w:w="1985"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黃瀚嶢、王凌軒</w:t>
            </w:r>
          </w:p>
        </w:tc>
        <w:tc>
          <w:tcPr>
            <w:tcW w:w="2409" w:type="dxa"/>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本館三樓自然教室</w:t>
            </w:r>
          </w:p>
        </w:tc>
      </w:tr>
      <w:tr w:rsidR="0093094D" w:rsidRPr="0093094D" w:rsidTr="0093094D">
        <w:trPr>
          <w:trHeight w:val="385"/>
        </w:trPr>
        <w:tc>
          <w:tcPr>
            <w:tcW w:w="1135" w:type="dxa"/>
            <w:vMerge/>
            <w:shd w:val="clear" w:color="auto" w:fill="auto"/>
            <w:vAlign w:val="center"/>
          </w:tcPr>
          <w:p w:rsidR="0093094D" w:rsidRPr="0093094D" w:rsidRDefault="0093094D" w:rsidP="0093094D">
            <w:pPr>
              <w:spacing w:line="288" w:lineRule="auto"/>
              <w:rPr>
                <w:rFonts w:ascii="新細明體" w:hAnsi="新細明體"/>
                <w:color w:val="000000" w:themeColor="text1"/>
              </w:rPr>
            </w:pPr>
          </w:p>
        </w:tc>
        <w:tc>
          <w:tcPr>
            <w:tcW w:w="1417"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14</w:t>
            </w:r>
            <w:r w:rsidRPr="0093094D">
              <w:rPr>
                <w:rFonts w:eastAsia="標楷體"/>
                <w:color w:val="000000" w:themeColor="text1"/>
              </w:rPr>
              <w:t>:00-1</w:t>
            </w:r>
            <w:r w:rsidRPr="0093094D">
              <w:rPr>
                <w:rFonts w:eastAsia="標楷體" w:hint="eastAsia"/>
                <w:color w:val="000000" w:themeColor="text1"/>
              </w:rPr>
              <w:t>6</w:t>
            </w:r>
            <w:r w:rsidRPr="0093094D">
              <w:rPr>
                <w:rFonts w:eastAsia="標楷體"/>
                <w:color w:val="000000" w:themeColor="text1"/>
              </w:rPr>
              <w:t>:00</w:t>
            </w:r>
          </w:p>
        </w:tc>
        <w:tc>
          <w:tcPr>
            <w:tcW w:w="2268" w:type="dxa"/>
          </w:tcPr>
          <w:p w:rsidR="0093094D" w:rsidRPr="0093094D" w:rsidRDefault="0093094D" w:rsidP="0093094D">
            <w:pPr>
              <w:spacing w:line="288" w:lineRule="auto"/>
              <w:rPr>
                <w:color w:val="000000" w:themeColor="text1"/>
              </w:rPr>
            </w:pPr>
            <w:r w:rsidRPr="0093094D">
              <w:rPr>
                <w:rFonts w:hint="eastAsia"/>
                <w:color w:val="000000" w:themeColor="text1"/>
              </w:rPr>
              <w:t>手繪自然史博物館</w:t>
            </w:r>
          </w:p>
        </w:tc>
        <w:tc>
          <w:tcPr>
            <w:tcW w:w="1985"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王凌軒</w:t>
            </w:r>
          </w:p>
        </w:tc>
        <w:tc>
          <w:tcPr>
            <w:tcW w:w="2409" w:type="dxa"/>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土銀展示館鯨豚平台</w:t>
            </w:r>
          </w:p>
        </w:tc>
      </w:tr>
    </w:tbl>
    <w:p w:rsidR="0093094D" w:rsidRDefault="0093094D" w:rsidP="0093094D">
      <w:pPr>
        <w:spacing w:line="288" w:lineRule="auto"/>
        <w:rPr>
          <w:rFonts w:ascii="新細明體" w:hAnsi="新細明體"/>
          <w:color w:val="000000" w:themeColor="text1"/>
        </w:rPr>
      </w:pPr>
    </w:p>
    <w:p w:rsidR="007A5B02" w:rsidRPr="0093094D" w:rsidRDefault="0093094D" w:rsidP="0093094D">
      <w:pPr>
        <w:spacing w:line="288" w:lineRule="auto"/>
        <w:rPr>
          <w:color w:val="000000" w:themeColor="text1"/>
        </w:rPr>
      </w:pPr>
      <w:r w:rsidRPr="0093094D">
        <w:rPr>
          <w:rFonts w:ascii="新細明體" w:hAnsi="新細明體" w:hint="eastAsia"/>
          <w:color w:val="000000" w:themeColor="text1"/>
        </w:rPr>
        <w:t>■聯絡人：教育推廣組 方慧詩(02)2382-2699分機466</w:t>
      </w:r>
    </w:p>
    <w:sectPr w:rsidR="007A5B02" w:rsidRPr="0093094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130E"/>
    <w:multiLevelType w:val="hybridMultilevel"/>
    <w:tmpl w:val="4FBAF7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D"/>
    <w:rsid w:val="00156343"/>
    <w:rsid w:val="003C3593"/>
    <w:rsid w:val="0061313B"/>
    <w:rsid w:val="0093094D"/>
    <w:rsid w:val="00DD6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00AA4-BD93-4ACB-9956-30A23A85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4D"/>
    <w:pPr>
      <w:ind w:leftChars="200" w:left="480"/>
    </w:pPr>
  </w:style>
  <w:style w:type="character" w:styleId="a4">
    <w:name w:val="Hyperlink"/>
    <w:basedOn w:val="a0"/>
    <w:uiPriority w:val="99"/>
    <w:unhideWhenUsed/>
    <w:rsid w:val="00930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vent.culture.tw/NTM/portal/Registration/C0103MAction?actId=70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hsfang</dc:creator>
  <cp:lastModifiedBy>USER</cp:lastModifiedBy>
  <cp:revision>2</cp:revision>
  <dcterms:created xsi:type="dcterms:W3CDTF">2017-04-08T23:34:00Z</dcterms:created>
  <dcterms:modified xsi:type="dcterms:W3CDTF">2017-04-08T23:34:00Z</dcterms:modified>
</cp:coreProperties>
</file>