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w:t>
      </w:r>
      <w:bookmarkStart w:id="0" w:name="_GoBack"/>
      <w:r w:rsidRPr="00F06A04">
        <w:rPr>
          <w:rFonts w:ascii="標楷體" w:eastAsia="標楷體" w:hAnsi="標楷體" w:cs="Times New Roman"/>
          <w:sz w:val="32"/>
          <w:szCs w:val="32"/>
        </w:rPr>
        <w:t>實施</w:t>
      </w:r>
      <w:r w:rsidRPr="00F06A04">
        <w:rPr>
          <w:rFonts w:ascii="標楷體" w:eastAsia="標楷體" w:hAnsi="標楷體" w:cs="Times New Roman" w:hint="eastAsia"/>
          <w:sz w:val="32"/>
          <w:szCs w:val="32"/>
        </w:rPr>
        <w:t>計畫</w:t>
      </w:r>
      <w:bookmarkEnd w:id="0"/>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495" w:rsidRDefault="00983495">
      <w:r>
        <w:separator/>
      </w:r>
    </w:p>
  </w:endnote>
  <w:endnote w:type="continuationSeparator" w:id="0">
    <w:p w:rsidR="00983495" w:rsidRDefault="0098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pPr>
      <w:pStyle w:val="a9"/>
      <w:jc w:val="center"/>
    </w:pPr>
    <w:r>
      <w:fldChar w:fldCharType="begin"/>
    </w:r>
    <w:r>
      <w:instrText xml:space="preserve"> PAGE   \* MERGEFORMAT </w:instrText>
    </w:r>
    <w:r>
      <w:fldChar w:fldCharType="separate"/>
    </w:r>
    <w:r w:rsidR="009471F8" w:rsidRPr="009471F8">
      <w:rPr>
        <w:noProof/>
        <w:lang w:val="zh-TW"/>
      </w:rPr>
      <w:t>15</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9471F8" w:rsidRPr="009471F8">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495" w:rsidRDefault="00983495">
      <w:r>
        <w:separator/>
      </w:r>
    </w:p>
  </w:footnote>
  <w:footnote w:type="continuationSeparator" w:id="0">
    <w:p w:rsidR="00983495" w:rsidRDefault="0098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47360F"/>
    <w:rsid w:val="0047666C"/>
    <w:rsid w:val="00485C83"/>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6672"/>
    <w:rsid w:val="009471F8"/>
    <w:rsid w:val="0097044D"/>
    <w:rsid w:val="00983495"/>
    <w:rsid w:val="00A45A8E"/>
    <w:rsid w:val="00A563A9"/>
    <w:rsid w:val="00A9180D"/>
    <w:rsid w:val="00AA1FBB"/>
    <w:rsid w:val="00AB658E"/>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BA78A-09CB-4808-82CE-94CC3D2E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2022-07-20T05:42:00Z</cp:lastPrinted>
  <dcterms:created xsi:type="dcterms:W3CDTF">2022-07-25T01:39:00Z</dcterms:created>
  <dcterms:modified xsi:type="dcterms:W3CDTF">2022-07-25T01:39:00Z</dcterms:modified>
</cp:coreProperties>
</file>